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299" w:before="299" w:lineRule="auto"/>
        <w:rPr>
          <w:rFonts w:ascii="Aptos" w:cs="Aptos" w:eastAsia="Aptos" w:hAnsi="Aptos"/>
          <w:b w:val="1"/>
          <w:color w:val="0070c0"/>
          <w:sz w:val="36"/>
          <w:szCs w:val="36"/>
        </w:rPr>
      </w:pPr>
      <w:r w:rsidDel="00000000" w:rsidR="00000000" w:rsidRPr="00000000">
        <w:rPr>
          <w:rFonts w:ascii="Aptos" w:cs="Aptos" w:eastAsia="Aptos" w:hAnsi="Aptos"/>
          <w:b w:val="1"/>
          <w:color w:val="0070c0"/>
          <w:sz w:val="36"/>
          <w:szCs w:val="36"/>
          <w:rtl w:val="0"/>
        </w:rPr>
        <w:t xml:space="preserve">Arid Academy – Master Course Outline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5 Lecture Series</w:t>
      </w:r>
      <w:r w:rsidDel="00000000" w:rsidR="00000000" w:rsidRPr="00000000">
        <w:rPr>
          <w:b w:val="1"/>
          <w:sz w:val="22"/>
          <w:szCs w:val="22"/>
          <w:rtl w:val="0"/>
        </w:rPr>
        <w:t xml:space="preserve"> with 29 Courses Total </w:t>
      </w: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 + Final Certification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spacing w:after="281" w:before="281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🔽 </w:t>
      </w:r>
      <w:r w:rsidDel="00000000" w:rsidR="00000000" w:rsidRPr="00000000">
        <w:rPr>
          <w:rFonts w:ascii="Aptos" w:cs="Aptos" w:eastAsia="Aptos" w:hAnsi="Aptos"/>
          <w:b w:val="1"/>
          <w:color w:val="0070c0"/>
          <w:sz w:val="22"/>
          <w:szCs w:val="22"/>
          <w:rtl w:val="0"/>
        </w:rPr>
        <w:t xml:space="preserve">Downloadable Resources (7 Documents Total)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9" w:lineRule="auto"/>
        <w:ind w:left="720" w:right="0" w:hanging="360"/>
        <w:jc w:val="left"/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Course 1.1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NDA Agreement Form 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(Required for Full Access)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Course 4.1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Dealer Service Form 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(Template)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Course 5.1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Warranty &amp; Terms of Service 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(Word Doc)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Course 5.2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Dealer Sales Phone Script 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(Template)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Course 5.3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Dealer Quote Sheet 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(Word Doc)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Course 5.4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Dealer Catalog 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(PDF)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9" w:lineRule="auto"/>
        <w:ind w:left="720" w:right="0" w:hanging="360"/>
        <w:jc w:val="left"/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Course 5.5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Final Dealer Certification Quiz 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(PDF/Online)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spacing w:after="281" w:before="281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🧭 </w:t>
      </w:r>
      <w:r w:rsidDel="00000000" w:rsidR="00000000" w:rsidRPr="00000000">
        <w:rPr>
          <w:rFonts w:ascii="Aptos" w:cs="Aptos" w:eastAsia="Aptos" w:hAnsi="Aptos"/>
          <w:b w:val="1"/>
          <w:color w:val="0070c0"/>
          <w:sz w:val="22"/>
          <w:szCs w:val="22"/>
          <w:rtl w:val="0"/>
        </w:rPr>
        <w:t xml:space="preserve">Introductory Series (4 Courses)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1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Project Warp Speed Overview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Welcome video outlining the entire course structure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2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Why Every Boat Needs an Arid Bilge System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Explains moisture-related issues and Arid's solution using vacuum technology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3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The Superior Technology for Keeping Your Boat Clean and Dry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Explains why Arid is superior to traditional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4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Internal Function Overview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Explains internal operation, vacuum cycles, processor logic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spacing w:after="281" w:before="281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📦</w:t>
      </w:r>
      <w:r w:rsidDel="00000000" w:rsidR="00000000" w:rsidRPr="00000000">
        <w:rPr>
          <w:rFonts w:ascii="Aptos" w:cs="Aptos" w:eastAsia="Aptos" w:hAnsi="Aptos"/>
          <w:b w:val="1"/>
          <w:color w:val="0070c0"/>
          <w:sz w:val="22"/>
          <w:szCs w:val="22"/>
          <w:rtl w:val="0"/>
        </w:rPr>
        <w:t xml:space="preserve">Product Education Series (9 Courses)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1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Which Arid Bilge System is Right for Your Boat?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Helps match models to boat size and bilge layout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2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Series 1 – Product Explanation Brochure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Details dimensions, design, and features of Series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3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Series 2 – Product Explanation Brochure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Compares legacy and molded Series 2 models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4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Series 4 – Product Explanation Brochure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Larger unit built for 4–8 zone moisture control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5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Series 9 – Product Explanation Brochure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Heavy-duty system for 9–11 zone mega yachts and commercial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6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Which Pickup is Right for Your Bilge?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Breakdown of pickup types and why clamping can be problematic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7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Eco-Friendly Companion Overview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Explains environmental separator and its use cases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8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Eco Alarm System – Smart Protection for Your Boat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Overview of the accessory alarm system and smart triggers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9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Bluetooth Diagnostics Integration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Details Bluetooth app functionality and service logging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spacing w:after="281" w:before="281" w:lineRule="auto"/>
        <w:rPr>
          <w:rFonts w:ascii="Aptos" w:cs="Aptos" w:eastAsia="Aptos" w:hAnsi="Aptos"/>
          <w:b w:val="1"/>
          <w:color w:val="0070c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color w:val="0070c0"/>
          <w:sz w:val="22"/>
          <w:szCs w:val="22"/>
          <w:rtl w:val="0"/>
        </w:rPr>
        <w:t xml:space="preserve">🛠 Installation Series (5 Courses)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1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Where to Mount Power and Discharge Lines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Power and discharge best practices for install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2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Series 1 – Install &amp; Troubleshooting Guide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Complete walkthrough of Series 1 installation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3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Series 2 – Install &amp; Troubleshooting Guide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Detailed installation process for Series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4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Series 4 – Install &amp; Troubleshooting Guide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Guide for Series 4 full system installation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5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How to Maintain Your Arid Bilge System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Recommended maintenance and upkeep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spacing w:after="281" w:before="281" w:lineRule="auto"/>
        <w:rPr>
          <w:rFonts w:ascii="Aptos" w:cs="Aptos" w:eastAsia="Aptos" w:hAnsi="Aptos"/>
          <w:b w:val="1"/>
          <w:color w:val="0070c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🔧 </w:t>
      </w:r>
      <w:r w:rsidDel="00000000" w:rsidR="00000000" w:rsidRPr="00000000">
        <w:rPr>
          <w:rFonts w:ascii="Aptos" w:cs="Aptos" w:eastAsia="Aptos" w:hAnsi="Aptos"/>
          <w:b w:val="1"/>
          <w:color w:val="0070c0"/>
          <w:sz w:val="22"/>
          <w:szCs w:val="22"/>
          <w:rtl w:val="0"/>
        </w:rPr>
        <w:t xml:space="preserve">Internal Troubleshooting Guide (5 Courses)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1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Series 1 – Internal Troubleshooting Guide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Troubleshooting guide for Series 1 diagnostics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2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Series 2 – Internal Troubleshooting Guide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Internal diagnosis and fix steps for Series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3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Series 4 – Internal Troubleshooting Guide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Troubleshooting guide for multi-zone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4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Service Call Procedures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Protocols for in-field dealer service visits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4.1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Dealer Service Form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(Downloadable Template)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spacing w:after="281" w:before="281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📈</w:t>
      </w:r>
      <w:r w:rsidDel="00000000" w:rsidR="00000000" w:rsidRPr="00000000">
        <w:rPr>
          <w:rFonts w:ascii="Aptos" w:cs="Aptos" w:eastAsia="Aptos" w:hAnsi="Aptos"/>
          <w:b w:val="1"/>
          <w:color w:val="0070c0"/>
          <w:sz w:val="22"/>
          <w:szCs w:val="22"/>
          <w:rtl w:val="0"/>
        </w:rPr>
        <w:t xml:space="preserve">Sales Training Series (6 Courses)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1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Dealer Sales Course Script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Covers talking points and product value pitch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2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Protecting Wooden Boats – The Power of a Dry Bilge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Highlights the protection and longevity benefits for wood hulls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3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Preserving Metal-Hulled Yachts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Focuses on corrosion protection for aluminum and steel vessels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4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Cost Advantage of Arid Bilge Systems vs. Traditional Systems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Outlines long-term cost savings and value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5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Dealer Pricing, Quotations &amp; Essentials Checklist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Retail pricing strategies, quote procedures, and checklist for sales readiness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6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Dealer Benefits Overview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Breakdown of program perks, sales support, and ongoing partnership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5.1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Warranty &amp; Terms of Service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(Downloadable Document)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5.2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Dealer Sales Phone Script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(Downloadable Template)</w:t>
      </w:r>
      <w:r w:rsidDel="00000000" w:rsidR="00000000" w:rsidRPr="00000000">
        <w:rPr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🧪 </w:t>
      </w:r>
      <w:r w:rsidDel="00000000" w:rsidR="00000000" w:rsidRPr="00000000">
        <w:rPr>
          <w:rFonts w:ascii="Aptos" w:cs="Aptos" w:eastAsia="Aptos" w:hAnsi="Aptos"/>
          <w:b w:val="1"/>
          <w:color w:val="0070c0"/>
          <w:sz w:val="22"/>
          <w:szCs w:val="22"/>
          <w:rtl w:val="0"/>
        </w:rPr>
        <w:t xml:space="preserve">Final Step – Dealer Certification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Course 5.5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i w:val="1"/>
          <w:sz w:val="22"/>
          <w:szCs w:val="22"/>
          <w:rtl w:val="0"/>
        </w:rPr>
        <w:t xml:space="preserve">Final Dealer Certification Quiz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Includes 25 multiple-choice questions and 2 written responses. Confirms full understanding of Arid Bilge Systems' training content.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cstheme="majorBidi" w:eastAsiaTheme="majorEastAsia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cstheme="majorBidi" w:eastAsiaTheme="majorEastAsia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 w:val="1"/>
    <w:rPr>
      <w:i w:val="1"/>
      <w:iCs w:val="1"/>
      <w:color w:val="0f4761" w:themeColor="accent1" w:themeShade="0000BF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404040" w:themeColor="text1" w:themeTint="0000BF"/>
    </w:r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0f4761" w:themeColor="accent1" w:themeShade="0000BF"/>
      <w:spacing w:val="5"/>
    </w:rPr>
  </w:style>
  <w:style w:type="paragraph" w:styleId="ListParagraph">
    <w:name w:val="List Paragraph"/>
    <w:basedOn w:val="Normal"/>
    <w:uiPriority w:val="34"/>
    <w:qFormat w:val="1"/>
    <w:rsid w:val="5A6C0986"/>
    <w:pPr>
      <w:spacing/>
      <w:ind w:left="720"/>
      <w:contextualSpacing w:val="1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GH/Stc5/AVRmpLzID/WAkLiMRA==">CgMxLjA4AHIhMTZIYmhCeDFNV29xbEJ5ME5EVVcwOEkzT2UtZkUyX3F3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2025-04-14T22:44:54.7747328Z</dcterms:created>
  <dc:creator>Alfred Baurley</dc:creator>
</cp:coreProperties>
</file>